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77" w:rsidRDefault="00CF1B5B">
      <w:pPr>
        <w:pStyle w:val="Titolo1"/>
        <w:jc w:val="center"/>
      </w:pPr>
      <w:r>
        <w:t>Corte del Futuro</w:t>
      </w:r>
    </w:p>
    <w:p w:rsidR="00DA4F77" w:rsidRDefault="00CF1B5B">
      <w:pPr>
        <w:pStyle w:val="Titolo2"/>
        <w:numPr>
          <w:ilvl w:val="0"/>
          <w:numId w:val="1"/>
        </w:numPr>
        <w:jc w:val="center"/>
      </w:pPr>
      <w:r>
        <w:t>Residenze in Classe A</w:t>
      </w:r>
    </w:p>
    <w:p w:rsidR="00DA4F77" w:rsidRDefault="00CF1B5B">
      <w:r>
        <w:rPr>
          <w:b/>
        </w:rPr>
        <w:t>Categoria</w:t>
      </w:r>
      <w:r>
        <w:t>: Nuove costruzioni</w:t>
      </w:r>
    </w:p>
    <w:p w:rsidR="00DA4F77" w:rsidRDefault="00CF1B5B">
      <w:r>
        <w:rPr>
          <w:b/>
        </w:rPr>
        <w:t>Prodotti Knauf</w:t>
      </w:r>
      <w:r>
        <w:t xml:space="preserve">: </w:t>
      </w:r>
      <w:proofErr w:type="spellStart"/>
      <w:r>
        <w:t>Involukro</w:t>
      </w:r>
      <w:proofErr w:type="spellEnd"/>
      <w:r>
        <w:t>, Sottofondi</w:t>
      </w:r>
    </w:p>
    <w:p w:rsidR="00DA4F77" w:rsidRDefault="00CF1B5B">
      <w:r>
        <w:rPr>
          <w:rStyle w:val="etichetta"/>
          <w:b/>
          <w:bCs/>
          <w:color w:val="000000"/>
          <w:shd w:val="clear" w:color="auto" w:fill="FFFFFF"/>
        </w:rPr>
        <w:t xml:space="preserve">Progettazione e direzione lavori: </w:t>
      </w:r>
      <w:r>
        <w:rPr>
          <w:rStyle w:val="etichetta"/>
          <w:color w:val="000000"/>
          <w:shd w:val="clear" w:color="auto" w:fill="FFFFFF"/>
        </w:rPr>
        <w:t xml:space="preserve">Atelier2, Gallotti e </w:t>
      </w:r>
      <w:proofErr w:type="spellStart"/>
      <w:r>
        <w:rPr>
          <w:rStyle w:val="etichetta"/>
          <w:color w:val="000000"/>
          <w:shd w:val="clear" w:color="auto" w:fill="FFFFFF"/>
        </w:rPr>
        <w:t>Imperadori</w:t>
      </w:r>
      <w:proofErr w:type="spellEnd"/>
      <w:r>
        <w:rPr>
          <w:rStyle w:val="etichetta"/>
          <w:color w:val="000000"/>
          <w:shd w:val="clear" w:color="auto" w:fill="FFFFFF"/>
        </w:rPr>
        <w:t xml:space="preserve"> Associati</w:t>
      </w:r>
    </w:p>
    <w:p w:rsidR="00DA4F77" w:rsidRDefault="00CF1B5B">
      <w:r>
        <w:rPr>
          <w:rStyle w:val="etichetta"/>
          <w:b/>
          <w:bCs/>
          <w:color w:val="000000"/>
          <w:shd w:val="clear" w:color="auto" w:fill="FFFFFF"/>
        </w:rPr>
        <w:t xml:space="preserve">Progettista strutture: </w:t>
      </w:r>
      <w:r>
        <w:rPr>
          <w:rStyle w:val="etichetta"/>
          <w:color w:val="000000"/>
          <w:shd w:val="clear" w:color="auto" w:fill="FFFFFF"/>
        </w:rPr>
        <w:t xml:space="preserve">Ing. Gian Pietro </w:t>
      </w:r>
      <w:proofErr w:type="spellStart"/>
      <w:r>
        <w:rPr>
          <w:rStyle w:val="etichetta"/>
          <w:color w:val="000000"/>
          <w:shd w:val="clear" w:color="auto" w:fill="FFFFFF"/>
        </w:rPr>
        <w:t>Imperadori</w:t>
      </w:r>
      <w:proofErr w:type="spellEnd"/>
    </w:p>
    <w:p w:rsidR="00DA4F77" w:rsidRDefault="00CF1B5B">
      <w:r>
        <w:rPr>
          <w:rStyle w:val="etichetta"/>
          <w:b/>
          <w:bCs/>
          <w:color w:val="000000"/>
          <w:shd w:val="clear" w:color="auto" w:fill="FFFFFF"/>
        </w:rPr>
        <w:t xml:space="preserve">Progettista impianti: </w:t>
      </w:r>
      <w:r>
        <w:rPr>
          <w:rStyle w:val="etichetta"/>
          <w:color w:val="000000"/>
          <w:shd w:val="clear" w:color="auto" w:fill="FFFFFF"/>
        </w:rPr>
        <w:t>Studio Tecnico Carlini (BZ)</w:t>
      </w:r>
      <w:r>
        <w:br/>
      </w:r>
      <w:r>
        <w:rPr>
          <w:rStyle w:val="etichetta"/>
          <w:b/>
          <w:bCs/>
          <w:color w:val="000000"/>
          <w:shd w:val="clear" w:color="auto" w:fill="FFFFFF"/>
        </w:rPr>
        <w:t xml:space="preserve">stato </w:t>
      </w:r>
      <w:proofErr w:type="spellStart"/>
      <w:r>
        <w:rPr>
          <w:rStyle w:val="etichetta"/>
          <w:b/>
          <w:bCs/>
          <w:color w:val="000000"/>
          <w:shd w:val="clear" w:color="auto" w:fill="FFFFFF"/>
        </w:rPr>
        <w:t>Referenza</w:t>
      </w:r>
      <w:r>
        <w:rPr>
          <w:color w:val="A1A1A1"/>
          <w:shd w:val="clear" w:color="auto" w:fill="FFFFFF"/>
        </w:rPr>
        <w:t>:</w:t>
      </w:r>
      <w:r>
        <w:t>Completata</w:t>
      </w:r>
      <w:proofErr w:type="spellEnd"/>
      <w:r>
        <w:br/>
      </w:r>
      <w:r>
        <w:rPr>
          <w:b/>
        </w:rPr>
        <w:t>Destinazione d'uso</w:t>
      </w:r>
      <w:r>
        <w:t>: Residenziale</w:t>
      </w:r>
      <w:r>
        <w:br/>
      </w:r>
      <w:r>
        <w:rPr>
          <w:b/>
        </w:rPr>
        <w:t xml:space="preserve">Applicatore e committente: </w:t>
      </w:r>
      <w:proofErr w:type="spellStart"/>
      <w:r>
        <w:t>Vanoncini</w:t>
      </w:r>
      <w:proofErr w:type="spellEnd"/>
      <w:r>
        <w:t xml:space="preserve"> Spa</w:t>
      </w:r>
      <w:r>
        <w:br/>
      </w:r>
      <w:r>
        <w:rPr>
          <w:b/>
        </w:rPr>
        <w:t xml:space="preserve">Prodotti Knauf utilizzati: </w:t>
      </w:r>
      <w:r>
        <w:t>Sistema Isolamento In</w:t>
      </w:r>
    </w:p>
    <w:p w:rsidR="00DA4F77" w:rsidRDefault="00CF1B5B">
      <w:pPr>
        <w:rPr>
          <w:b/>
        </w:rPr>
      </w:pPr>
      <w:r>
        <w:rPr>
          <w:b/>
        </w:rPr>
        <w:t xml:space="preserve">Luogo: </w:t>
      </w:r>
      <w:r>
        <w:t>Torre Boldone (BG)</w:t>
      </w:r>
    </w:p>
    <w:p w:rsidR="00DA4F77" w:rsidRDefault="00CF1B5B">
      <w:pPr>
        <w:rPr>
          <w:b/>
        </w:rPr>
      </w:pPr>
      <w:r>
        <w:rPr>
          <w:b/>
        </w:rPr>
        <w:t xml:space="preserve">Tempo di realizzazione: </w:t>
      </w:r>
      <w:r>
        <w:t>da gennaio 2010 a marzo 2011</w:t>
      </w:r>
    </w:p>
    <w:p w:rsidR="00DA4F77" w:rsidRDefault="00DA4F77">
      <w:pPr>
        <w:rPr>
          <w:b/>
        </w:rPr>
      </w:pPr>
    </w:p>
    <w:p w:rsidR="00DA4F77" w:rsidRDefault="00DA4F77">
      <w:pPr>
        <w:rPr>
          <w:b/>
        </w:rPr>
      </w:pPr>
    </w:p>
    <w:p w:rsidR="00DA4F77" w:rsidRDefault="00CF1B5B">
      <w:r>
        <w:rPr>
          <w:b/>
        </w:rPr>
        <w:t>Obiettivi</w:t>
      </w:r>
    </w:p>
    <w:p w:rsidR="00DA4F77" w:rsidRDefault="00CF1B5B">
      <w:r>
        <w:t xml:space="preserve">Questo complesso residenziale nasce con l’obiettivo di progettare, realizzare e mettere sul mercato edifici </w:t>
      </w:r>
      <w:r>
        <w:t xml:space="preserve">confortevoli, energeticamente efficienti e poco inquinanti. </w:t>
      </w:r>
    </w:p>
    <w:p w:rsidR="00DA4F77" w:rsidRDefault="00CF1B5B">
      <w:r>
        <w:t xml:space="preserve">L’impresa immobiliare </w:t>
      </w:r>
      <w:proofErr w:type="spellStart"/>
      <w:r>
        <w:t>Vanoncini</w:t>
      </w:r>
      <w:proofErr w:type="spellEnd"/>
      <w:r>
        <w:t xml:space="preserve"> spa, </w:t>
      </w:r>
      <w:r w:rsidR="00F13BFD">
        <w:t xml:space="preserve">nella duplice veste di </w:t>
      </w:r>
      <w:r>
        <w:t>comm</w:t>
      </w:r>
      <w:r>
        <w:t xml:space="preserve">ittente </w:t>
      </w:r>
      <w:r w:rsidR="00F13BFD">
        <w:t xml:space="preserve">e </w:t>
      </w:r>
      <w:r>
        <w:t>costrutt</w:t>
      </w:r>
      <w:r w:rsidR="00F13BFD">
        <w:t>ore</w:t>
      </w:r>
      <w:r>
        <w:t>, ha sostituito una villa che consumava molta energia con un complesso residenziale di 7 unità ad altissima efficienza energetica, salvaguardando gli spazi verdi</w:t>
      </w:r>
      <w:r w:rsidR="00F13BFD">
        <w:t xml:space="preserve"> circostanti</w:t>
      </w:r>
      <w:r>
        <w:t>.</w:t>
      </w:r>
    </w:p>
    <w:p w:rsidR="00DA4F77" w:rsidRDefault="00DA4F77">
      <w:pPr>
        <w:rPr>
          <w:b/>
        </w:rPr>
      </w:pPr>
    </w:p>
    <w:p w:rsidR="00DA4F77" w:rsidRDefault="00CF1B5B">
      <w:r>
        <w:rPr>
          <w:b/>
        </w:rPr>
        <w:t>Progetto</w:t>
      </w:r>
    </w:p>
    <w:p w:rsidR="00DA4F77" w:rsidRDefault="00CF1B5B">
      <w:r>
        <w:t>La Corte del Futuro</w:t>
      </w:r>
      <w:r w:rsidR="00F13BFD">
        <w:t xml:space="preserve"> è stata </w:t>
      </w:r>
      <w:r>
        <w:t>progettata da Atelier 2, Gallot</w:t>
      </w:r>
      <w:r>
        <w:t xml:space="preserve">ti e </w:t>
      </w:r>
      <w:proofErr w:type="spellStart"/>
      <w:r>
        <w:t>Imperadori</w:t>
      </w:r>
      <w:proofErr w:type="spellEnd"/>
      <w:r>
        <w:t xml:space="preserve"> e </w:t>
      </w:r>
      <w:r w:rsidR="00F13BFD">
        <w:t xml:space="preserve">realizzata </w:t>
      </w:r>
      <w:r>
        <w:t>d</w:t>
      </w:r>
      <w:r w:rsidR="00F13BFD">
        <w:t>a</w:t>
      </w:r>
      <w:r>
        <w:t xml:space="preserve">ll’impresa </w:t>
      </w:r>
      <w:proofErr w:type="spellStart"/>
      <w:r>
        <w:t>Vanoncini</w:t>
      </w:r>
      <w:proofErr w:type="spellEnd"/>
      <w:r>
        <w:t xml:space="preserve"> Spa</w:t>
      </w:r>
      <w:r>
        <w:t xml:space="preserve"> nel rispetto delle direttive emanate dalla Provincia di Bergamo in materia di risparmio energetico</w:t>
      </w:r>
      <w:r>
        <w:t xml:space="preserve"> secondo il Protocollo Casa Clima, ovvero con un consumo energetico inferiore a 30 </w:t>
      </w:r>
      <w:proofErr w:type="spellStart"/>
      <w:r>
        <w:t>lWh</w:t>
      </w:r>
      <w:proofErr w:type="spellEnd"/>
      <w:r>
        <w:t xml:space="preserve">/m2 per anno. L’edificio </w:t>
      </w:r>
      <w:r>
        <w:t>è infatti certificato in classe A con un consumo energetico di 15 KWh/ mq per anno e in classe A+ CENED con un consumo energetico di 10 KWh/mq per anno.</w:t>
      </w:r>
    </w:p>
    <w:p w:rsidR="00DA4F77" w:rsidRDefault="00CF1B5B">
      <w:r>
        <w:t xml:space="preserve">Il progetto </w:t>
      </w:r>
      <w:r>
        <w:rPr>
          <w:b/>
          <w:bCs/>
        </w:rPr>
        <w:t>si ispira</w:t>
      </w:r>
      <w:r>
        <w:t xml:space="preserve"> allo studio delle cascine e degli </w:t>
      </w:r>
      <w:r>
        <w:rPr>
          <w:b/>
          <w:bCs/>
        </w:rPr>
        <w:t>insediamenti storici delle valli bergamasche</w:t>
      </w:r>
      <w:r>
        <w:t>: i</w:t>
      </w:r>
      <w:r>
        <w:t xml:space="preserve"> volumi si aggregano mantenendo la loro unità</w:t>
      </w:r>
      <w:r w:rsidR="00F13BFD">
        <w:t xml:space="preserve"> e </w:t>
      </w:r>
      <w:r>
        <w:t>si privilegiano i loggiati che, come nelle corti di un tempo, diventano spazio comune e luogo di aggregazione.</w:t>
      </w:r>
    </w:p>
    <w:p w:rsidR="00DA4F77" w:rsidRDefault="00CF1B5B">
      <w:r>
        <w:t>I progettisti hanno proposto una pianta a forma di “L”, con</w:t>
      </w:r>
      <w:r w:rsidR="00F13BFD">
        <w:t xml:space="preserve"> le funzioni disposte attorno a</w:t>
      </w:r>
      <w:r>
        <w:t xml:space="preserve"> una co</w:t>
      </w:r>
      <w:r>
        <w:t>rte orientata a sud-est, verso i giardini privati: è questo il lato aperto, solare, caratterizzato da alternanza di volumi, da logge, terrazze</w:t>
      </w:r>
      <w:r w:rsidR="00F13BFD">
        <w:t>,</w:t>
      </w:r>
      <w:r>
        <w:t xml:space="preserve"> serre bioclimatiche</w:t>
      </w:r>
      <w:r w:rsidR="00F13BFD">
        <w:t xml:space="preserve"> e</w:t>
      </w:r>
      <w:r>
        <w:t xml:space="preserve"> frangisole</w:t>
      </w:r>
      <w:r>
        <w:t xml:space="preserve"> che rendono particolare l’unità formale.</w:t>
      </w:r>
    </w:p>
    <w:p w:rsidR="00DA4F77" w:rsidRDefault="00F13BFD">
      <w:r>
        <w:t>Di contro al</w:t>
      </w:r>
      <w:r w:rsidR="00CF1B5B">
        <w:t xml:space="preserve"> prospetto principale </w:t>
      </w:r>
      <w:r w:rsidR="00CF1B5B">
        <w:t xml:space="preserve">con grandi aperture e dinamiche spaziali, il lato nord con le appendici est e ovest si presenta più compatto e più isolato termicamente per compensare la diversa esposizione. Qui le aperture sono ridotte allo stretto </w:t>
      </w:r>
      <w:r>
        <w:t xml:space="preserve">indispensabile </w:t>
      </w:r>
      <w:r w:rsidR="00CF1B5B">
        <w:t>per rispettare i rapporti ae</w:t>
      </w:r>
      <w:r w:rsidR="00CF1B5B">
        <w:t>ro-illuminanti e limitare le dispersioni termiche, mentre l’animazione delle facciate è realizzata con pochi balconi e alternanza di colori su fondo bianco.</w:t>
      </w:r>
    </w:p>
    <w:p w:rsidR="00DA4F77" w:rsidRDefault="00DA4F77"/>
    <w:p w:rsidR="00DA4F77" w:rsidRDefault="00CF1B5B">
      <w:r>
        <w:rPr>
          <w:b/>
        </w:rPr>
        <w:t>Il sistema costruttivo</w:t>
      </w:r>
    </w:p>
    <w:p w:rsidR="00DA4F77" w:rsidRDefault="00CF1B5B">
      <w:r>
        <w:t xml:space="preserve">La tecnologia costruttiva </w:t>
      </w:r>
      <w:r w:rsidR="000C2C44">
        <w:t>a secco prevale su ogni altra</w:t>
      </w:r>
      <w:r>
        <w:t xml:space="preserve">. </w:t>
      </w:r>
      <w:r w:rsidR="000C2C44">
        <w:t xml:space="preserve">La </w:t>
      </w:r>
      <w:r>
        <w:t xml:space="preserve">struttura portante </w:t>
      </w:r>
      <w:r w:rsidR="000C2C44">
        <w:t xml:space="preserve">è </w:t>
      </w:r>
      <w:r w:rsidR="000C2C44">
        <w:t xml:space="preserve">stata realizzata </w:t>
      </w:r>
      <w:r w:rsidR="000C2C44">
        <w:t xml:space="preserve">con </w:t>
      </w:r>
      <w:r>
        <w:t>telai in acciaio inglobati all’interno degli involucri e impalcati con lamiera grecata e getto collaborante in calcestruzzo armato. I solai, oltre a funzionare come diaframmi orizzontali collegati ai n</w:t>
      </w:r>
      <w:r>
        <w:t xml:space="preserve">uclei di controvento, garantiscono anche la necessaria inerzia termica all’edificio. </w:t>
      </w:r>
    </w:p>
    <w:p w:rsidR="00DA4F77" w:rsidRDefault="00DA4F77">
      <w:pPr>
        <w:rPr>
          <w:b/>
        </w:rPr>
      </w:pPr>
    </w:p>
    <w:p w:rsidR="00DA4F77" w:rsidRDefault="00CF1B5B">
      <w:r>
        <w:rPr>
          <w:b/>
        </w:rPr>
        <w:t>Interventi</w:t>
      </w:r>
    </w:p>
    <w:p w:rsidR="00DA4F77" w:rsidRDefault="00CF1B5B">
      <w:r>
        <w:t xml:space="preserve">Tutti i prospetti sono </w:t>
      </w:r>
      <w:r w:rsidR="000C2C44">
        <w:t xml:space="preserve">stati </w:t>
      </w:r>
      <w:r>
        <w:t xml:space="preserve">rifiniti principalmente con rivestimento a cappotto intonacato e </w:t>
      </w:r>
      <w:r>
        <w:lastRenderedPageBreak/>
        <w:t>tinteggiato. La copertura richiama i</w:t>
      </w:r>
      <w:r>
        <w:rPr>
          <w:b/>
          <w:bCs/>
        </w:rPr>
        <w:t xml:space="preserve"> tetti tipici in pietra</w:t>
      </w:r>
      <w:r>
        <w:t xml:space="preserve"> ed è </w:t>
      </w:r>
      <w:r w:rsidR="000C2C44">
        <w:t xml:space="preserve">stata </w:t>
      </w:r>
      <w:r>
        <w:t>reali</w:t>
      </w:r>
      <w:r>
        <w:t>zzata con tegole di cemento colore grigio ardesia, con sco</w:t>
      </w:r>
      <w:r w:rsidR="000C2C44">
        <w:t>s</w:t>
      </w:r>
      <w:r>
        <w:t>saline in alluminio naturale in colore silver. Dietro l’aspetto tradizionale si nascondono le funzionalità di un tetto altamente isolato e ventilato per raggiungere l’efficienza termica richiesta d</w:t>
      </w:r>
      <w:r>
        <w:t>al progetto. La copertura ospita l‘impianto solare termico per la produzione di acqua calda sanitaria e i pannelli fotovoltaici per la produzione di energia elettrica.</w:t>
      </w:r>
    </w:p>
    <w:p w:rsidR="00DA4F77" w:rsidRDefault="00DA4F77"/>
    <w:p w:rsidR="00DA4F77" w:rsidRDefault="00CF1B5B">
      <w:r>
        <w:rPr>
          <w:b/>
        </w:rPr>
        <w:t>Soluzioni tecniche</w:t>
      </w:r>
    </w:p>
    <w:p w:rsidR="00DA4F77" w:rsidRDefault="00CF1B5B">
      <w:r>
        <w:t xml:space="preserve">La struttura fuori terra è stata realizzata con tecnica mista acciaio-cemento per gli impalcati mentre i tamponamenti esterni e il guscio interno sono stati interamente sviluppati con tecnologie a secco Knauf. </w:t>
      </w:r>
    </w:p>
    <w:p w:rsidR="00DA4F77" w:rsidRDefault="00CF1B5B">
      <w:r>
        <w:t xml:space="preserve">Gli involucri </w:t>
      </w:r>
      <w:r>
        <w:t>utilizz</w:t>
      </w:r>
      <w:r w:rsidR="000C2C44">
        <w:t>ano</w:t>
      </w:r>
      <w:r>
        <w:t xml:space="preserve"> </w:t>
      </w:r>
      <w:r>
        <w:t xml:space="preserve">importanti spessori di </w:t>
      </w:r>
      <w:r w:rsidR="000C2C44">
        <w:t>materiale isolante</w:t>
      </w:r>
      <w:r>
        <w:t xml:space="preserve"> con finalità acustica e termica, a garanzia di opportuni sfasamenti dell’onda termica nelle stagioni calde. L’involucro verticale esterno è </w:t>
      </w:r>
      <w:r w:rsidR="000C2C44">
        <w:t xml:space="preserve">stato </w:t>
      </w:r>
      <w:r>
        <w:t xml:space="preserve">realizzato con il </w:t>
      </w:r>
      <w:hyperlink r:id="rId6">
        <w:r>
          <w:rPr>
            <w:rStyle w:val="CollegamentoInternet"/>
          </w:rPr>
          <w:t xml:space="preserve">Sistema Knauf </w:t>
        </w:r>
        <w:proofErr w:type="spellStart"/>
        <w:r>
          <w:rPr>
            <w:rStyle w:val="CollegamentoInternet"/>
          </w:rPr>
          <w:t>Aquapanel</w:t>
        </w:r>
        <w:proofErr w:type="spellEnd"/>
        <w:r>
          <w:rPr>
            <w:rStyle w:val="CollegamentoInternet"/>
          </w:rPr>
          <w:t>®</w:t>
        </w:r>
      </w:hyperlink>
      <w:r>
        <w:t>, le cui lastre fanno da supporto al rivestimento</w:t>
      </w:r>
      <w:r w:rsidR="000C2C44">
        <w:t xml:space="preserve"> a cappotto isolante rifinito a</w:t>
      </w:r>
      <w:r>
        <w:t xml:space="preserve"> intonaco sottile tinteggiato. Sul lato interno delle pareti è stata realizzata una </w:t>
      </w:r>
      <w:proofErr w:type="spellStart"/>
      <w:r>
        <w:t>co</w:t>
      </w:r>
      <w:r>
        <w:t>ntroparete</w:t>
      </w:r>
      <w:proofErr w:type="spellEnd"/>
      <w:r>
        <w:t xml:space="preserve"> con lastre in gesso rivestito </w:t>
      </w:r>
      <w:hyperlink r:id="rId7">
        <w:r>
          <w:rPr>
            <w:rStyle w:val="CollegamentoInternet"/>
          </w:rPr>
          <w:t>Knauf GKB 12,5 mm</w:t>
        </w:r>
      </w:hyperlink>
      <w:r>
        <w:t xml:space="preserve"> con barriera al vapore, che ha nell'intercapedine un consistente strato di isolamento in lane minerali ad alta densità, </w:t>
      </w:r>
      <w:r>
        <w:t>soluzione che offre ottime performance acustiche e igrometriche.</w:t>
      </w:r>
    </w:p>
    <w:p w:rsidR="00DA4F77" w:rsidRDefault="00CF1B5B">
      <w:r>
        <w:t xml:space="preserve">La climatizzazione invernale è assicurata da </w:t>
      </w:r>
      <w:r>
        <w:rPr>
          <w:b/>
          <w:bCs/>
        </w:rPr>
        <w:t>un impianto radiante a pavimento</w:t>
      </w:r>
      <w:r>
        <w:t>, con regolazione climatica per singolo ambiente. Ogni unità abitativa è autonoma per quanto riguarda l’impianto d</w:t>
      </w:r>
      <w:r>
        <w:t>i ventilazione meccanica controllata. In rispetto della normativa locale</w:t>
      </w:r>
      <w:r w:rsidR="000C2C44">
        <w:t>,</w:t>
      </w:r>
      <w:r>
        <w:t xml:space="preserve"> è stato installato un impianto di recupero delle acque meteoriche finalizzato all’irrigazione dei giardini. </w:t>
      </w:r>
    </w:p>
    <w:p w:rsidR="00DA4F77" w:rsidRDefault="00CF1B5B">
      <w:r>
        <w:t>Il sistema di produzione di calore e acqua calda sanitaria è centralizzato</w:t>
      </w:r>
      <w:r>
        <w:t xml:space="preserve"> ed è costituito da una pompa di calore aria-acqua e da una caldaia a condensazione a gas metano ad integrazione dell’acqua calda sanitaria, garantita al 50 per cento dall’impianto a pannelli solari termici.</w:t>
      </w:r>
    </w:p>
    <w:p w:rsidR="00DA4F77" w:rsidRDefault="00DA4F77">
      <w:pPr>
        <w:rPr>
          <w:b/>
        </w:rPr>
      </w:pPr>
    </w:p>
    <w:p w:rsidR="00DA4F77" w:rsidRDefault="00CF1B5B">
      <w:r>
        <w:rPr>
          <w:b/>
        </w:rPr>
        <w:t>Estetica</w:t>
      </w:r>
    </w:p>
    <w:p w:rsidR="00DA4F77" w:rsidRDefault="00CF1B5B">
      <w:r>
        <w:t xml:space="preserve">L'edificio è composto da sette unità </w:t>
      </w:r>
      <w:r>
        <w:t xml:space="preserve">abitative con giardini privati a piano terra, terrazze e </w:t>
      </w:r>
      <w:r>
        <w:rPr>
          <w:b/>
          <w:bCs/>
        </w:rPr>
        <w:t>serre bioclimatiche ai piani superiori</w:t>
      </w:r>
      <w:r>
        <w:t>, realizzato in una zona prevalentemente residenziale.</w:t>
      </w:r>
    </w:p>
    <w:p w:rsidR="00DA4F77" w:rsidRDefault="00CF1B5B">
      <w:r>
        <w:t xml:space="preserve">Originale e di effetto anche la scelta dei materiali a vista, con intonaci di colori diversi accostati ad </w:t>
      </w:r>
      <w:r>
        <w:t xml:space="preserve">elementi in acciaio, vetro, legno e </w:t>
      </w:r>
      <w:proofErr w:type="spellStart"/>
      <w:r>
        <w:t>pvc</w:t>
      </w:r>
      <w:proofErr w:type="spellEnd"/>
      <w:r>
        <w:t xml:space="preserve"> riciclato. </w:t>
      </w:r>
    </w:p>
    <w:p w:rsidR="00DA4F77" w:rsidRDefault="00DA4F77"/>
    <w:p w:rsidR="00DA4F77" w:rsidRDefault="00CF1B5B">
      <w:r>
        <w:t xml:space="preserve">Redazione a cura di </w:t>
      </w:r>
      <w:hyperlink r:id="rId8" w:history="1">
        <w:r w:rsidRPr="00CF1B5B">
          <w:rPr>
            <w:rStyle w:val="Collegamentoipertestuale"/>
          </w:rPr>
          <w:t>RGR Comunicazione</w:t>
        </w:r>
      </w:hyperlink>
      <w:bookmarkStart w:id="0" w:name="_GoBack"/>
      <w:bookmarkEnd w:id="0"/>
    </w:p>
    <w:p w:rsidR="00DA4F77" w:rsidRDefault="00DA4F77"/>
    <w:p w:rsidR="00DA4F77" w:rsidRDefault="00DA4F77"/>
    <w:p w:rsidR="00DA4F77" w:rsidRDefault="00DA4F77"/>
    <w:p w:rsidR="00DA4F77" w:rsidRDefault="00DA4F77"/>
    <w:p w:rsidR="00DA4F77" w:rsidRDefault="00DA4F77"/>
    <w:p w:rsidR="00DA4F77" w:rsidRDefault="00DA4F77"/>
    <w:p w:rsidR="00DA4F77" w:rsidRDefault="00DA4F77"/>
    <w:p w:rsidR="00DA4F77" w:rsidRDefault="00DA4F77"/>
    <w:p w:rsidR="00DA4F77" w:rsidRDefault="00CF1B5B">
      <w:r>
        <w:t>Corte del Futuro (classe A)RESIDENZE IN CLASSE A</w:t>
      </w:r>
    </w:p>
    <w:p w:rsidR="00DA4F77" w:rsidRDefault="00CF1B5B">
      <w:r>
        <w:rPr>
          <w:u w:val="single"/>
        </w:rPr>
        <w:t xml:space="preserve">Il complesso residenziale La Corte del Futuro nasce dall’impegno dei progettisti di Atelier 2, Gallotti e </w:t>
      </w:r>
      <w:proofErr w:type="spellStart"/>
      <w:r>
        <w:rPr>
          <w:u w:val="single"/>
        </w:rPr>
        <w:t>Imperadori</w:t>
      </w:r>
      <w:proofErr w:type="spellEnd"/>
      <w:r>
        <w:rPr>
          <w:u w:val="single"/>
        </w:rPr>
        <w:t xml:space="preserve">, e dell’impresa </w:t>
      </w:r>
      <w:proofErr w:type="spellStart"/>
      <w:r>
        <w:rPr>
          <w:u w:val="single"/>
        </w:rPr>
        <w:t>Vanoncini</w:t>
      </w:r>
      <w:proofErr w:type="spellEnd"/>
      <w:r>
        <w:rPr>
          <w:u w:val="single"/>
        </w:rPr>
        <w:t xml:space="preserve"> Sp</w:t>
      </w:r>
      <w:r>
        <w:rPr>
          <w:u w:val="single"/>
        </w:rPr>
        <w:t>a di concretizzare le direttive emanate dalla Provincia di Bergamo in materia di risparmio energetico secondo il Protocollo Casa Clima. L’obiettivo è la realizzazione a Torre Boldone di un complesso residenziale energeticamente efficiente edificato con tec</w:t>
      </w:r>
      <w:r>
        <w:rPr>
          <w:u w:val="single"/>
        </w:rPr>
        <w:t xml:space="preserve">niche costruttive alternative nel rispetto dei parametri di Casa Clima Classe A (consumo energetico inferiore a 30 kWh/m2 per anno). </w:t>
      </w:r>
    </w:p>
    <w:p w:rsidR="00DA4F77" w:rsidRDefault="00DA4F77">
      <w:pPr>
        <w:rPr>
          <w:u w:val="single"/>
        </w:rPr>
      </w:pPr>
    </w:p>
    <w:p w:rsidR="00DA4F77" w:rsidRDefault="00CF1B5B">
      <w:r>
        <w:t>La struttura è caratterizzata da forti contenuti ecologici e di sostenibilità con la necessaria attenzione agli aspetti e</w:t>
      </w:r>
      <w:r>
        <w:t xml:space="preserve">stetico-formali. </w:t>
      </w:r>
      <w:r>
        <w:rPr>
          <w:u w:val="single"/>
        </w:rPr>
        <w:t>Si tratta di un edificio composto da sette unità abitative con giardini privati a piano terra, terrazze e serre bioclimatiche ai piani superiori, realizzato in una zona a prevalente destinazione residenziale.</w:t>
      </w:r>
      <w:r>
        <w:t xml:space="preserve"> </w:t>
      </w:r>
      <w:r>
        <w:rPr>
          <w:u w:val="single"/>
        </w:rPr>
        <w:t>Il progetto si ispira allo stu</w:t>
      </w:r>
      <w:r>
        <w:rPr>
          <w:u w:val="single"/>
        </w:rPr>
        <w:t xml:space="preserve">dio delle cascine e degli </w:t>
      </w:r>
      <w:r>
        <w:rPr>
          <w:u w:val="single"/>
        </w:rPr>
        <w:lastRenderedPageBreak/>
        <w:t>insediamenti storici delle valli bergamasche: i volumi si aggregano mantenendo la loro unità, si privilegiano i loggiati che, come nelle corti di un tempo, diventano spazio comune e luogo di aggregazione.</w:t>
      </w:r>
      <w:r>
        <w:t xml:space="preserve"> </w:t>
      </w:r>
    </w:p>
    <w:p w:rsidR="00DA4F77" w:rsidRDefault="00DA4F77"/>
    <w:p w:rsidR="00DA4F77" w:rsidRDefault="00CF1B5B">
      <w:r>
        <w:t>L’edificio, dotato di t</w:t>
      </w:r>
      <w:r>
        <w:t xml:space="preserve">ecnologie costruttive innovative, dal punto di vista formale reinterpreta e riadatta gli stilemi tipici della tradizione edilizia lombardo-bergamasca, che vengono riproposti con un carattere contemporaneo. </w:t>
      </w:r>
      <w:r>
        <w:rPr>
          <w:u w:val="single"/>
        </w:rPr>
        <w:t>I progettisti hanno voluto proporre una pianta a f</w:t>
      </w:r>
      <w:r>
        <w:rPr>
          <w:u w:val="single"/>
        </w:rPr>
        <w:t>orma di “L”, con le funzioni disposte attorno ad una corte orientata a sud-est, verso i giardini privati: è questo il lato aperto, solare, caratterizzato da alternanza di volumi, da logge, terrazze e serre bioclimatiche, frangisole, che rendono particolare</w:t>
      </w:r>
      <w:r>
        <w:rPr>
          <w:u w:val="single"/>
        </w:rPr>
        <w:t xml:space="preserve"> l’unità formale</w:t>
      </w:r>
      <w:r>
        <w:t xml:space="preserve">. </w:t>
      </w:r>
    </w:p>
    <w:p w:rsidR="00DA4F77" w:rsidRDefault="00DA4F77"/>
    <w:p w:rsidR="00DA4F77" w:rsidRDefault="00CF1B5B">
      <w:r>
        <w:rPr>
          <w:u w:val="single"/>
        </w:rPr>
        <w:t xml:space="preserve">Originale e di effetto anche la scelta dei materiali a vista, con intonaci di colori diversi accostati ad elementi in acciaio, vetro, legno e </w:t>
      </w:r>
      <w:proofErr w:type="spellStart"/>
      <w:r>
        <w:rPr>
          <w:u w:val="single"/>
        </w:rPr>
        <w:t>pvc</w:t>
      </w:r>
      <w:proofErr w:type="spellEnd"/>
      <w:r>
        <w:rPr>
          <w:u w:val="single"/>
        </w:rPr>
        <w:t xml:space="preserve"> riciclato. Di contro ad un prospetto principale dotato di grandi aperture e dinamiche spaz</w:t>
      </w:r>
      <w:r>
        <w:rPr>
          <w:u w:val="single"/>
        </w:rPr>
        <w:t>iali, il lato nord con le appendici est e ovest che si presenta più compatto e più isolato termicamente per compensare la diversa esposizione. Qui le aperture sono ridotte allo stretto necessario per rispettare i rapporti aero-illuminanti e limitare le dis</w:t>
      </w:r>
      <w:r>
        <w:rPr>
          <w:u w:val="single"/>
        </w:rPr>
        <w:t>persioni termiche, mentre l’animazione delle facciate è realizzata con pochi balconi e alternanza di colori su fondo bianco.</w:t>
      </w:r>
      <w:r>
        <w:t xml:space="preserve"> </w:t>
      </w:r>
    </w:p>
    <w:p w:rsidR="00DA4F77" w:rsidRDefault="00DA4F77"/>
    <w:p w:rsidR="00DA4F77" w:rsidRDefault="00CF1B5B">
      <w:r>
        <w:rPr>
          <w:u w:val="single"/>
        </w:rPr>
        <w:t>Tutti i prospetti sono rifiniti principalmente con rivestimento a cappotto intonacato e tinteggiato</w:t>
      </w:r>
      <w:r>
        <w:t xml:space="preserve">. </w:t>
      </w:r>
      <w:r>
        <w:rPr>
          <w:u w:val="single"/>
        </w:rPr>
        <w:t>La copertura richiama i tett</w:t>
      </w:r>
      <w:r>
        <w:rPr>
          <w:u w:val="single"/>
        </w:rPr>
        <w:t>i tipici in pietra ed è realizzata con tegole di cemento colore grigio ardesia, con scossaline in alluminio naturale in colore silver: dietro l’aspetto tradizionale si nascondono le funzionalità di un tetto altamente isolato e ventilato per raggiungere l’e</w:t>
      </w:r>
      <w:r>
        <w:rPr>
          <w:u w:val="single"/>
        </w:rPr>
        <w:t>fficienza termica richiesta dal progetto. La copertura ospita l‘impianto solare termico per la produzione di acqua calda sanitaria e i pannelli fotovoltaici per la produzione di energia elettrica.</w:t>
      </w:r>
      <w:r>
        <w:t xml:space="preserve"> </w:t>
      </w:r>
    </w:p>
    <w:p w:rsidR="00DA4F77" w:rsidRDefault="00DA4F77"/>
    <w:p w:rsidR="00DA4F77" w:rsidRDefault="00CF1B5B">
      <w:r>
        <w:t xml:space="preserve">La disposizione di tutte le unità abitative rispetta l’orientamento dell’edificio, con equa distribuzione degli effetti di captazione energetica invernale, di schermatura estiva e di ventilazione naturale nord-sud. </w:t>
      </w:r>
      <w:r>
        <w:rPr>
          <w:u w:val="single"/>
        </w:rPr>
        <w:t>La struttura fuori terra è stata realizza</w:t>
      </w:r>
      <w:r>
        <w:rPr>
          <w:u w:val="single"/>
        </w:rPr>
        <w:t>ta con tecnica mista acciaio-cemento per gli impalcati mentre i tamponamenti esterni e il guscio interno sono stati interamente sviluppati con tecnologie a secco Knauf. Gli involucri edilizi prevedono l’utilizzo di importanti spessori di isolamento con fin</w:t>
      </w:r>
      <w:r>
        <w:rPr>
          <w:u w:val="single"/>
        </w:rPr>
        <w:t xml:space="preserve">alità acustica e termica, a garanzia di opportuni sfasamenti dell’onda termica nelle stagioni calde. L’involucro verticale esterno è realizzato con il Sistema Knauf </w:t>
      </w:r>
      <w:proofErr w:type="spellStart"/>
      <w:r>
        <w:rPr>
          <w:u w:val="single"/>
        </w:rPr>
        <w:t>Aquapanel</w:t>
      </w:r>
      <w:proofErr w:type="spellEnd"/>
      <w:r>
        <w:rPr>
          <w:u w:val="single"/>
        </w:rPr>
        <w:t>®, le cui lastre fanno da supporto al rivestimento a cappotto isolante rifinito ad</w:t>
      </w:r>
      <w:r>
        <w:rPr>
          <w:u w:val="single"/>
        </w:rPr>
        <w:t xml:space="preserve"> intonaco sottile tinteggiato. Sul lato interno delle pareti è stata realizzata una </w:t>
      </w:r>
      <w:proofErr w:type="spellStart"/>
      <w:r>
        <w:rPr>
          <w:u w:val="single"/>
        </w:rPr>
        <w:t>controparete</w:t>
      </w:r>
      <w:proofErr w:type="spellEnd"/>
      <w:r>
        <w:rPr>
          <w:u w:val="single"/>
        </w:rPr>
        <w:t xml:space="preserve"> con lastre in gesso rivestito Knauf GKB 12,5 mm con barriera al vapore, che ospita in intercapedine un consistente strato di isolamento in lane minerali ad alt</w:t>
      </w:r>
      <w:r>
        <w:rPr>
          <w:u w:val="single"/>
        </w:rPr>
        <w:t>a densità: questa soluzione offre ottime performance acustiche e igrometriche.</w:t>
      </w:r>
      <w:r>
        <w:t xml:space="preserve"> </w:t>
      </w:r>
    </w:p>
    <w:p w:rsidR="00DA4F77" w:rsidRDefault="00DA4F77"/>
    <w:p w:rsidR="00DA4F77" w:rsidRDefault="00CF1B5B">
      <w:r>
        <w:t xml:space="preserve">Il progetto impiantistico è realizzato in funzione del raggiungimento delle migliori prestazioni di risparmio energetico. </w:t>
      </w:r>
      <w:r>
        <w:rPr>
          <w:u w:val="single"/>
        </w:rPr>
        <w:t>Il sistema di produzione di calore e acqua calda sani</w:t>
      </w:r>
      <w:r>
        <w:rPr>
          <w:u w:val="single"/>
        </w:rPr>
        <w:t xml:space="preserve">taria è centralizzato, ed </w:t>
      </w:r>
      <w:proofErr w:type="spellStart"/>
      <w:r>
        <w:rPr>
          <w:u w:val="single"/>
        </w:rPr>
        <w:t>é</w:t>
      </w:r>
      <w:proofErr w:type="spellEnd"/>
      <w:r>
        <w:rPr>
          <w:u w:val="single"/>
        </w:rPr>
        <w:t xml:space="preserve"> costituito da una pompa di calore aria-acqua e da una caldaia a condensazione a gas metano ad integrazione dell’acqua calda sanitaria, garantita al 50% dall’impianto a pannelli solari termici.</w:t>
      </w:r>
      <w:r>
        <w:t xml:space="preserve"> I pannelli fotovoltaici provvedono </w:t>
      </w:r>
      <w:r>
        <w:t xml:space="preserve">ad alimentare la pompa di calore (impianto da 13 pannelli da 230W per una potenza di 2990 </w:t>
      </w:r>
      <w:proofErr w:type="spellStart"/>
      <w:r>
        <w:t>Wp</w:t>
      </w:r>
      <w:proofErr w:type="spellEnd"/>
      <w:r>
        <w:t xml:space="preserve">). </w:t>
      </w:r>
      <w:r>
        <w:rPr>
          <w:u w:val="single"/>
        </w:rPr>
        <w:t>La climatizzazione invernale è assicurata da un impianto radiante a pavimento, con regolazione climatica per singolo ambiente. Ogni unità abitativa è autonoma pe</w:t>
      </w:r>
      <w:r>
        <w:rPr>
          <w:u w:val="single"/>
        </w:rPr>
        <w:t xml:space="preserve">r quanto riguarda l’impianto di ventilazione meccanica controllata. In rispetto della normativa locale è stato installato un impianto di recupero delle acque meteoriche finalizzato all’irrigazione dei giardini. </w:t>
      </w:r>
    </w:p>
    <w:sectPr w:rsidR="00DA4F7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49A"/>
    <w:multiLevelType w:val="multilevel"/>
    <w:tmpl w:val="26DC3B1A"/>
    <w:lvl w:ilvl="0">
      <w:start w:val="1"/>
      <w:numFmt w:val="decimal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77"/>
    <w:rsid w:val="000C2C44"/>
    <w:rsid w:val="00CF1B5B"/>
    <w:rsid w:val="00DA4F77"/>
    <w:rsid w:val="00F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Titolo"/>
    <w:next w:val="Corpodeltes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pPr>
      <w:spacing w:before="60"/>
      <w:jc w:val="center"/>
    </w:pPr>
    <w:rPr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CF1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Titolo"/>
    <w:next w:val="Corpodeltes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pPr>
      <w:spacing w:before="60"/>
      <w:jc w:val="center"/>
    </w:pPr>
    <w:rPr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CF1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rcomunicazionemarketing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auf.it/prodottiVarianti.aspx?idgrp=1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auf.it/backoffice/userfiles/files/documentiAllegati/260/%5B8707%5DManuale%20Aquapanel%2003_201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Ristori</cp:lastModifiedBy>
  <cp:revision>2</cp:revision>
  <dcterms:created xsi:type="dcterms:W3CDTF">2017-08-12T10:29:00Z</dcterms:created>
  <dcterms:modified xsi:type="dcterms:W3CDTF">2017-08-12T10:29:00Z</dcterms:modified>
  <dc:language>it-IT</dc:language>
</cp:coreProperties>
</file>